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46" w:rsidRPr="003B0611" w:rsidRDefault="00A1340E" w:rsidP="001738D6">
      <w:pPr>
        <w:spacing w:after="0" w:line="240" w:lineRule="auto"/>
        <w:jc w:val="center"/>
        <w:rPr>
          <w:sz w:val="24"/>
          <w:szCs w:val="24"/>
          <w:u w:val="single"/>
        </w:rPr>
      </w:pPr>
      <w:r w:rsidRPr="003B0611">
        <w:rPr>
          <w:sz w:val="24"/>
          <w:szCs w:val="24"/>
          <w:u w:val="single"/>
        </w:rPr>
        <w:t>Citizen Reference Panel – Summary of February 2016 report</w:t>
      </w:r>
    </w:p>
    <w:p w:rsidR="00A1340E" w:rsidRPr="003B0611" w:rsidRDefault="00A1340E" w:rsidP="001738D6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B0611" w:rsidRPr="003B0611" w:rsidRDefault="003B0611" w:rsidP="00204F3B">
      <w:pPr>
        <w:spacing w:after="0" w:line="240" w:lineRule="auto"/>
        <w:rPr>
          <w:sz w:val="24"/>
          <w:szCs w:val="24"/>
        </w:rPr>
      </w:pPr>
      <w:r w:rsidRPr="003B0611">
        <w:rPr>
          <w:sz w:val="24"/>
          <w:szCs w:val="24"/>
        </w:rPr>
        <w:t xml:space="preserve">This </w:t>
      </w:r>
      <w:r w:rsidRPr="003B0611">
        <w:rPr>
          <w:sz w:val="24"/>
          <w:szCs w:val="24"/>
        </w:rPr>
        <w:t>research was conducted as focus groups involving a total of 19 respondents across two sessions held in Manchester on 10th February 2016.</w:t>
      </w:r>
    </w:p>
    <w:p w:rsidR="003B0611" w:rsidRPr="003B0611" w:rsidRDefault="003B0611" w:rsidP="00204F3B">
      <w:pPr>
        <w:spacing w:after="0" w:line="240" w:lineRule="auto"/>
        <w:rPr>
          <w:sz w:val="24"/>
          <w:szCs w:val="24"/>
        </w:rPr>
      </w:pPr>
    </w:p>
    <w:p w:rsidR="006F2458" w:rsidRPr="003B0611" w:rsidRDefault="006F2458" w:rsidP="00204F3B">
      <w:pPr>
        <w:spacing w:after="0" w:line="240" w:lineRule="auto"/>
        <w:rPr>
          <w:sz w:val="24"/>
          <w:szCs w:val="24"/>
        </w:rPr>
      </w:pPr>
      <w:r w:rsidRPr="003B0611">
        <w:rPr>
          <w:sz w:val="24"/>
          <w:szCs w:val="24"/>
        </w:rPr>
        <w:t>Participants, who were all regular users of online services, were recruited to represent three previously identified attitudinal groups</w:t>
      </w:r>
      <w:r w:rsidR="00351B0E">
        <w:rPr>
          <w:sz w:val="24"/>
          <w:szCs w:val="24"/>
        </w:rPr>
        <w:t>:</w:t>
      </w:r>
      <w:r w:rsidRPr="003B0611">
        <w:rPr>
          <w:sz w:val="24"/>
          <w:szCs w:val="24"/>
        </w:rPr>
        <w:t xml:space="preserve"> Fundamentalist, Unconcerned and Pragmatic. </w:t>
      </w:r>
    </w:p>
    <w:p w:rsidR="006F2458" w:rsidRPr="003B0611" w:rsidRDefault="006F2458" w:rsidP="00204F3B">
      <w:pPr>
        <w:spacing w:after="0" w:line="240" w:lineRule="auto"/>
        <w:rPr>
          <w:sz w:val="24"/>
          <w:szCs w:val="24"/>
        </w:rPr>
      </w:pPr>
    </w:p>
    <w:p w:rsidR="00A1340E" w:rsidRPr="003B0611" w:rsidRDefault="006F2458" w:rsidP="00204F3B">
      <w:pPr>
        <w:spacing w:after="0" w:line="240" w:lineRule="auto"/>
        <w:rPr>
          <w:sz w:val="24"/>
          <w:szCs w:val="24"/>
        </w:rPr>
      </w:pPr>
      <w:r w:rsidRPr="003B0611">
        <w:rPr>
          <w:sz w:val="24"/>
          <w:szCs w:val="24"/>
        </w:rPr>
        <w:t>Each group lasted nearly two hours and covered three core topics: Online Passwords, Nuisance Marketing Phone Calls and Charity List Misuse.</w:t>
      </w:r>
    </w:p>
    <w:p w:rsidR="006F1B5A" w:rsidRPr="003B0611" w:rsidRDefault="006F1B5A" w:rsidP="00204F3B">
      <w:pPr>
        <w:spacing w:after="0" w:line="240" w:lineRule="auto"/>
        <w:rPr>
          <w:sz w:val="24"/>
          <w:szCs w:val="24"/>
        </w:rPr>
      </w:pPr>
    </w:p>
    <w:p w:rsidR="006F1B5A" w:rsidRPr="003B0611" w:rsidRDefault="006F1B5A" w:rsidP="006F1B5A">
      <w:pPr>
        <w:spacing w:after="0" w:line="240" w:lineRule="auto"/>
        <w:rPr>
          <w:sz w:val="24"/>
          <w:szCs w:val="24"/>
          <w:u w:val="single"/>
        </w:rPr>
      </w:pPr>
      <w:r w:rsidRPr="003B0611">
        <w:rPr>
          <w:sz w:val="24"/>
          <w:szCs w:val="24"/>
          <w:u w:val="single"/>
        </w:rPr>
        <w:t>Online Passwords</w:t>
      </w:r>
    </w:p>
    <w:p w:rsidR="006F1B5A" w:rsidRPr="003B0611" w:rsidRDefault="006F1B5A" w:rsidP="006F1B5A">
      <w:pPr>
        <w:spacing w:after="0" w:line="240" w:lineRule="auto"/>
        <w:rPr>
          <w:sz w:val="24"/>
          <w:szCs w:val="24"/>
          <w:u w:val="single"/>
        </w:rPr>
      </w:pPr>
    </w:p>
    <w:p w:rsidR="006F1B5A" w:rsidRPr="003B0611" w:rsidRDefault="006F1B5A" w:rsidP="006F1B5A">
      <w:pPr>
        <w:spacing w:after="0" w:line="240" w:lineRule="auto"/>
        <w:rPr>
          <w:sz w:val="24"/>
          <w:szCs w:val="24"/>
        </w:rPr>
      </w:pPr>
      <w:r w:rsidRPr="003B0611">
        <w:rPr>
          <w:sz w:val="24"/>
          <w:szCs w:val="24"/>
        </w:rPr>
        <w:t xml:space="preserve">Nearly all respondents admitted to reusing passwords on multiple sites and, even where they were changed, most respondents used minor variation on a theme. </w:t>
      </w:r>
      <w:r w:rsidR="00EC5023" w:rsidRPr="003B0611">
        <w:rPr>
          <w:sz w:val="24"/>
          <w:szCs w:val="24"/>
        </w:rPr>
        <w:t>Respondents</w:t>
      </w:r>
      <w:r w:rsidRPr="003B0611">
        <w:rPr>
          <w:sz w:val="24"/>
          <w:szCs w:val="24"/>
        </w:rPr>
        <w:t xml:space="preserve"> justified their approach by offsetting convenience against security issues, known or unknown.</w:t>
      </w:r>
    </w:p>
    <w:p w:rsidR="00EC5023" w:rsidRPr="003B0611" w:rsidRDefault="00EC5023" w:rsidP="006F1B5A">
      <w:pPr>
        <w:spacing w:after="0" w:line="240" w:lineRule="auto"/>
        <w:rPr>
          <w:sz w:val="24"/>
          <w:szCs w:val="24"/>
        </w:rPr>
      </w:pPr>
    </w:p>
    <w:p w:rsidR="006F1B5A" w:rsidRPr="003B0611" w:rsidRDefault="006F1B5A" w:rsidP="006F1B5A">
      <w:pPr>
        <w:spacing w:after="0" w:line="240" w:lineRule="auto"/>
        <w:rPr>
          <w:sz w:val="24"/>
          <w:szCs w:val="24"/>
        </w:rPr>
      </w:pPr>
      <w:r w:rsidRPr="003B0611">
        <w:rPr>
          <w:sz w:val="24"/>
          <w:szCs w:val="24"/>
        </w:rPr>
        <w:t>Often the only strong passwords used are on banking sites</w:t>
      </w:r>
      <w:r w:rsidR="00457296">
        <w:rPr>
          <w:sz w:val="24"/>
          <w:szCs w:val="24"/>
        </w:rPr>
        <w:t>,</w:t>
      </w:r>
      <w:r w:rsidRPr="003B0611">
        <w:rPr>
          <w:sz w:val="24"/>
          <w:szCs w:val="24"/>
        </w:rPr>
        <w:t xml:space="preserve"> where levels of security and password criteria are dictated by the website. </w:t>
      </w:r>
    </w:p>
    <w:p w:rsidR="00EC5023" w:rsidRPr="003B0611" w:rsidRDefault="00EC5023" w:rsidP="006F1B5A">
      <w:pPr>
        <w:spacing w:after="0" w:line="240" w:lineRule="auto"/>
        <w:rPr>
          <w:sz w:val="24"/>
          <w:szCs w:val="24"/>
        </w:rPr>
      </w:pPr>
    </w:p>
    <w:p w:rsidR="00EC5023" w:rsidRPr="003B0611" w:rsidRDefault="0057624A" w:rsidP="006F1B5A">
      <w:pPr>
        <w:spacing w:after="0" w:line="240" w:lineRule="auto"/>
        <w:rPr>
          <w:sz w:val="24"/>
          <w:szCs w:val="24"/>
          <w:u w:val="single"/>
        </w:rPr>
      </w:pPr>
      <w:r w:rsidRPr="003B0611">
        <w:rPr>
          <w:sz w:val="24"/>
          <w:szCs w:val="24"/>
          <w:u w:val="single"/>
        </w:rPr>
        <w:t>Nuisance Marketing Phone Calls</w:t>
      </w:r>
    </w:p>
    <w:p w:rsidR="000179C5" w:rsidRPr="003B0611" w:rsidRDefault="000179C5" w:rsidP="006F1B5A">
      <w:pPr>
        <w:spacing w:after="0" w:line="240" w:lineRule="auto"/>
        <w:rPr>
          <w:sz w:val="24"/>
          <w:szCs w:val="24"/>
          <w:u w:val="single"/>
        </w:rPr>
      </w:pPr>
    </w:p>
    <w:p w:rsidR="0016023E" w:rsidRPr="003B0611" w:rsidRDefault="000179C5" w:rsidP="006F1B5A">
      <w:pPr>
        <w:spacing w:after="0" w:line="240" w:lineRule="auto"/>
        <w:rPr>
          <w:sz w:val="24"/>
          <w:szCs w:val="24"/>
        </w:rPr>
      </w:pPr>
      <w:r w:rsidRPr="003B0611">
        <w:rPr>
          <w:sz w:val="24"/>
          <w:szCs w:val="24"/>
        </w:rPr>
        <w:t xml:space="preserve">All phone owners taking part said they had some sort of problem with </w:t>
      </w:r>
      <w:r w:rsidR="00390F97">
        <w:rPr>
          <w:sz w:val="24"/>
          <w:szCs w:val="24"/>
        </w:rPr>
        <w:t>nuisance calls</w:t>
      </w:r>
      <w:r w:rsidR="0016023E" w:rsidRPr="003B0611">
        <w:rPr>
          <w:sz w:val="24"/>
          <w:szCs w:val="24"/>
        </w:rPr>
        <w:t xml:space="preserve"> and that </w:t>
      </w:r>
      <w:r w:rsidR="00390F97">
        <w:rPr>
          <w:sz w:val="24"/>
          <w:szCs w:val="24"/>
        </w:rPr>
        <w:t>those</w:t>
      </w:r>
      <w:r w:rsidR="0016023E" w:rsidRPr="003B0611">
        <w:rPr>
          <w:sz w:val="24"/>
          <w:szCs w:val="24"/>
        </w:rPr>
        <w:t xml:space="preserve"> received </w:t>
      </w:r>
      <w:r w:rsidRPr="003B0611">
        <w:rPr>
          <w:sz w:val="24"/>
          <w:szCs w:val="24"/>
        </w:rPr>
        <w:t>are primarily about PPI or bank charges, phishing for insurance claims and scams (usually computer related).</w:t>
      </w:r>
    </w:p>
    <w:p w:rsidR="0016023E" w:rsidRPr="003B0611" w:rsidRDefault="0016023E" w:rsidP="006F1B5A">
      <w:pPr>
        <w:spacing w:after="0" w:line="240" w:lineRule="auto"/>
        <w:rPr>
          <w:sz w:val="24"/>
          <w:szCs w:val="24"/>
        </w:rPr>
      </w:pPr>
    </w:p>
    <w:p w:rsidR="000179C5" w:rsidRPr="003B0611" w:rsidRDefault="000179C5" w:rsidP="006F1B5A">
      <w:pPr>
        <w:spacing w:after="0" w:line="240" w:lineRule="auto"/>
        <w:rPr>
          <w:sz w:val="24"/>
          <w:szCs w:val="24"/>
        </w:rPr>
      </w:pPr>
      <w:r w:rsidRPr="003B0611">
        <w:rPr>
          <w:sz w:val="24"/>
          <w:szCs w:val="24"/>
        </w:rPr>
        <w:t xml:space="preserve">The nuisance value does not relate to subject but rather the frequency and timing of the calls. </w:t>
      </w:r>
    </w:p>
    <w:p w:rsidR="00BB1B0E" w:rsidRPr="003B0611" w:rsidRDefault="00BB1B0E" w:rsidP="006F1B5A">
      <w:pPr>
        <w:spacing w:after="0" w:line="240" w:lineRule="auto"/>
        <w:rPr>
          <w:sz w:val="24"/>
          <w:szCs w:val="24"/>
        </w:rPr>
      </w:pPr>
    </w:p>
    <w:p w:rsidR="00BB1B0E" w:rsidRPr="003B0611" w:rsidRDefault="00BB1B0E" w:rsidP="006F1B5A">
      <w:pPr>
        <w:spacing w:after="0" w:line="240" w:lineRule="auto"/>
        <w:rPr>
          <w:sz w:val="24"/>
          <w:szCs w:val="24"/>
        </w:rPr>
      </w:pPr>
      <w:r w:rsidRPr="003B0611">
        <w:rPr>
          <w:sz w:val="24"/>
          <w:szCs w:val="24"/>
        </w:rPr>
        <w:t>Only a limited number in these groups were aware of or have made use of the free Tel</w:t>
      </w:r>
      <w:r w:rsidRPr="003B0611">
        <w:rPr>
          <w:sz w:val="24"/>
          <w:szCs w:val="24"/>
        </w:rPr>
        <w:t>ephone Preference Service (TPS).</w:t>
      </w:r>
    </w:p>
    <w:p w:rsidR="004407A7" w:rsidRPr="003B0611" w:rsidRDefault="004407A7" w:rsidP="006F1B5A">
      <w:pPr>
        <w:spacing w:after="0" w:line="240" w:lineRule="auto"/>
        <w:rPr>
          <w:sz w:val="24"/>
          <w:szCs w:val="24"/>
        </w:rPr>
      </w:pPr>
    </w:p>
    <w:p w:rsidR="004407A7" w:rsidRPr="003B0611" w:rsidRDefault="004407A7" w:rsidP="004407A7">
      <w:pPr>
        <w:pStyle w:val="Default"/>
        <w:rPr>
          <w:rFonts w:ascii="Verdana" w:hAnsi="Verdana"/>
          <w:b/>
          <w:bCs/>
        </w:rPr>
      </w:pPr>
      <w:r w:rsidRPr="003B0611">
        <w:rPr>
          <w:rFonts w:ascii="Verdana" w:hAnsi="Verdana"/>
          <w:bCs/>
          <w:u w:val="single"/>
        </w:rPr>
        <w:t>Charity List Misuse</w:t>
      </w:r>
      <w:r w:rsidRPr="003B0611">
        <w:rPr>
          <w:rFonts w:ascii="Verdana" w:hAnsi="Verdana"/>
          <w:b/>
          <w:bCs/>
        </w:rPr>
        <w:t xml:space="preserve"> </w:t>
      </w:r>
    </w:p>
    <w:p w:rsidR="004407A7" w:rsidRPr="003B0611" w:rsidRDefault="004407A7" w:rsidP="004407A7">
      <w:pPr>
        <w:pStyle w:val="Default"/>
        <w:rPr>
          <w:rFonts w:ascii="Verdana" w:hAnsi="Verdana"/>
          <w:b/>
          <w:bCs/>
        </w:rPr>
      </w:pPr>
    </w:p>
    <w:p w:rsidR="00DA7311" w:rsidRPr="003B0611" w:rsidRDefault="004407A7" w:rsidP="004407A7">
      <w:pPr>
        <w:pStyle w:val="Default"/>
        <w:rPr>
          <w:rFonts w:ascii="Verdana" w:hAnsi="Verdana"/>
        </w:rPr>
      </w:pPr>
      <w:r w:rsidRPr="003B0611">
        <w:rPr>
          <w:rFonts w:ascii="Verdana" w:hAnsi="Verdana"/>
        </w:rPr>
        <w:t xml:space="preserve">Although awareness was high, respondents had no direct experience of list misuse. </w:t>
      </w:r>
      <w:bookmarkStart w:id="0" w:name="_GoBack"/>
      <w:bookmarkEnd w:id="0"/>
      <w:r w:rsidRPr="003B0611">
        <w:rPr>
          <w:rFonts w:ascii="Verdana" w:hAnsi="Verdana"/>
        </w:rPr>
        <w:t>Several did have elderly relatives who experienced list based problems although all but one were historic cases. One did have a grandmother still receiving excessive mail from new charities.</w:t>
      </w:r>
    </w:p>
    <w:p w:rsidR="004407A7" w:rsidRPr="003B0611" w:rsidRDefault="004407A7" w:rsidP="004407A7">
      <w:pPr>
        <w:pStyle w:val="Default"/>
        <w:rPr>
          <w:rFonts w:ascii="Verdana" w:hAnsi="Verdana"/>
        </w:rPr>
      </w:pPr>
      <w:r w:rsidRPr="003B0611">
        <w:rPr>
          <w:rFonts w:ascii="Verdana" w:hAnsi="Verdana"/>
        </w:rPr>
        <w:t xml:space="preserve"> </w:t>
      </w:r>
    </w:p>
    <w:p w:rsidR="004407A7" w:rsidRPr="003B0611" w:rsidRDefault="004407A7" w:rsidP="004407A7">
      <w:pPr>
        <w:spacing w:after="0" w:line="240" w:lineRule="auto"/>
        <w:rPr>
          <w:sz w:val="24"/>
          <w:szCs w:val="24"/>
          <w:u w:val="single"/>
        </w:rPr>
      </w:pPr>
      <w:r w:rsidRPr="003B0611">
        <w:rPr>
          <w:sz w:val="24"/>
          <w:szCs w:val="24"/>
        </w:rPr>
        <w:t>S</w:t>
      </w:r>
      <w:r w:rsidR="00DA7311" w:rsidRPr="003B0611">
        <w:rPr>
          <w:sz w:val="24"/>
          <w:szCs w:val="24"/>
        </w:rPr>
        <w:t xml:space="preserve">ome </w:t>
      </w:r>
      <w:r w:rsidRPr="003B0611">
        <w:rPr>
          <w:sz w:val="24"/>
          <w:szCs w:val="24"/>
        </w:rPr>
        <w:t>respondents had recently experienced aggressive approaches by charities to which they already donate, asking for additional or increased amounts.</w:t>
      </w:r>
    </w:p>
    <w:sectPr w:rsidR="004407A7" w:rsidRPr="003B0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0E"/>
    <w:rsid w:val="000179C5"/>
    <w:rsid w:val="0016023E"/>
    <w:rsid w:val="001738D6"/>
    <w:rsid w:val="00204F3B"/>
    <w:rsid w:val="002C3BBE"/>
    <w:rsid w:val="00351B0E"/>
    <w:rsid w:val="00390F97"/>
    <w:rsid w:val="003B0611"/>
    <w:rsid w:val="004407A7"/>
    <w:rsid w:val="00457296"/>
    <w:rsid w:val="0057624A"/>
    <w:rsid w:val="00583AAF"/>
    <w:rsid w:val="006F1B5A"/>
    <w:rsid w:val="006F2458"/>
    <w:rsid w:val="00757C46"/>
    <w:rsid w:val="00A1340E"/>
    <w:rsid w:val="00BB1B0E"/>
    <w:rsid w:val="00BF463B"/>
    <w:rsid w:val="00DA7311"/>
    <w:rsid w:val="00E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7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EDBF244</Template>
  <TotalTime>15</TotalTime>
  <Pages>1</Pages>
  <Words>285</Words>
  <Characters>1572</Characters>
  <Application>Microsoft Office Word</Application>
  <DocSecurity>0</DocSecurity>
  <Lines>35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Reference Panel – Summary of February 2016 report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Reference Panel – Summary of February 2016 report</dc:title>
  <dc:creator>Helen Davies</dc:creator>
  <cp:lastModifiedBy>Helen Davies</cp:lastModifiedBy>
  <cp:revision>19</cp:revision>
  <dcterms:created xsi:type="dcterms:W3CDTF">2016-06-23T13:59:00Z</dcterms:created>
  <dcterms:modified xsi:type="dcterms:W3CDTF">2016-06-23T14:22:00Z</dcterms:modified>
</cp:coreProperties>
</file>